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0F6ED">
      <w:pPr>
        <w:spacing w:line="360" w:lineRule="auto"/>
        <w:jc w:val="center"/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shd w:val="clear" w:color="auto" w:fill="FFFFFF"/>
        </w:rPr>
        <w:t xml:space="preserve">Fructo-Oligosaccharides and Sea Buckthorn Complex Ameliorates Glucose and Lipid Metabolism in Type 2 Diabetic (T2DM) Rats via Metabolic and </w:t>
      </w:r>
      <w:bookmarkStart w:id="0" w:name="OLE_LINK71"/>
      <w:bookmarkStart w:id="1" w:name="OLE_LINK70"/>
      <w:r>
        <w:rPr>
          <w:rFonts w:hint="eastAsia" w:ascii="Times New Roman" w:hAnsi="Times New Roman" w:eastAsia="宋体" w:cs="Times New Roman"/>
          <w:b/>
          <w:sz w:val="28"/>
          <w:szCs w:val="28"/>
          <w:shd w:val="clear" w:color="auto" w:fill="FFFFFF"/>
        </w:rPr>
        <w:t xml:space="preserve">Anti-Inflammatory </w:t>
      </w:r>
      <w:bookmarkEnd w:id="0"/>
      <w:bookmarkEnd w:id="1"/>
      <w:r>
        <w:rPr>
          <w:rFonts w:hint="eastAsia" w:ascii="Times New Roman" w:hAnsi="Times New Roman" w:eastAsia="宋体" w:cs="Times New Roman"/>
          <w:b/>
          <w:sz w:val="28"/>
          <w:szCs w:val="28"/>
          <w:shd w:val="clear" w:color="auto" w:fill="FFFFFF"/>
        </w:rPr>
        <w:t>Pathways</w:t>
      </w:r>
      <w:bookmarkStart w:id="2" w:name="_Hlk147911515"/>
    </w:p>
    <w:bookmarkEnd w:id="2"/>
    <w:p w14:paraId="79597019">
      <w:pPr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Ling Chen,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†ab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Hualin Liu,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†ab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Yanwu Chen,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Qianya Xiao,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Zijin Huang,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lang w:eastAsia="zh"/>
          <w14:textFill>
            <w14:solidFill>
              <w14:schemeClr w14:val="tx1"/>
            </w14:solidFill>
          </w14:textFill>
        </w:rPr>
        <w:t>Ziying Li,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lang w:eastAsia="zh"/>
          <w14:textFill>
            <w14:solidFill>
              <w14:schemeClr w14:val="tx1"/>
            </w14:solidFill>
          </w14:textFill>
        </w:rPr>
        <w:t xml:space="preserve"> Xiaofei Zhang,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lang w:eastAsia="zh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Xueying Fan,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Meichen Xiao,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Xiaomin Li,*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:lang w:eastAsia="zh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and Yuan Yao Chen*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:vertAlign w:val="superscript"/>
          <w14:textFill>
            <w14:solidFill>
              <w14:schemeClr w14:val="tx1"/>
            </w14:solidFill>
          </w14:textFill>
        </w:rPr>
        <w:t>ab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62AABACD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sz w:val="28"/>
          <w:szCs w:val="28"/>
          <w:shd w:val="clear" w:color="auto" w:fill="FFFFFF"/>
        </w:rPr>
      </w:pPr>
    </w:p>
    <w:p w14:paraId="419A8911">
      <w:pPr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*Corresponding Authors: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3D33AD06">
      <w:pPr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Xiaomin Li, E</w:t>
      </w:r>
      <w:r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mail addresses: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yfglblxm@126.com</w:t>
      </w:r>
    </w:p>
    <w:p w14:paraId="7F4BDBE9">
      <w:pPr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Yuan Yao Chen, E</w:t>
      </w:r>
      <w:r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mail addresses: </w:t>
      </w: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 xml:space="preserve">yuanyaochen0401@163.com </w:t>
      </w:r>
    </w:p>
    <w:p w14:paraId="68CDC2A9">
      <w:pPr>
        <w:spacing w:line="360" w:lineRule="auto"/>
        <w:rPr>
          <w:rFonts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24"/>
          <w:szCs w:val="32"/>
          <w14:textFill>
            <w14:solidFill>
              <w14:schemeClr w14:val="tx1"/>
            </w14:solidFill>
          </w14:textFill>
        </w:rPr>
        <w:t>Contact: Yuan Yao Chen</w:t>
      </w:r>
    </w:p>
    <w:p w14:paraId="593BAEE4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/>
          <w:sz w:val="28"/>
          <w:szCs w:val="28"/>
          <w:shd w:val="clear" w:color="auto" w:fill="FFFFFF"/>
        </w:rPr>
      </w:pPr>
    </w:p>
    <w:p w14:paraId="3FC06202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shd w:val="clear" w:color="auto" w:fill="FFFFFF"/>
        </w:rPr>
        <w:t>a Research &amp; Development Division, Perfect (Guangdong) Co., Ltd., Zhongshan, China</w:t>
      </w:r>
    </w:p>
    <w:p w14:paraId="26C44975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  <w:shd w:val="clear" w:color="auto" w:fill="FFFFFF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shd w:val="clear" w:color="auto" w:fill="FFFFFF"/>
        </w:rPr>
        <w:t>b Research &amp; Development Division, Perfect Life &amp; Health Institute, Zhongshan, China</w:t>
      </w:r>
    </w:p>
    <w:p w14:paraId="0D784A45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  <w:shd w:val="clear" w:color="auto" w:fill="FFFFFF"/>
          <w:lang w:eastAsia="zh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shd w:val="clear" w:color="auto" w:fill="FFFFFF"/>
          <w:lang w:eastAsia="zh"/>
        </w:rPr>
        <w:t xml:space="preserve">c </w:t>
      </w:r>
      <w:r>
        <w:rPr>
          <w:rFonts w:ascii="Times New Roman" w:hAnsi="Times New Roman" w:eastAsia="宋体" w:cs="Times New Roman"/>
          <w:sz w:val="24"/>
          <w:szCs w:val="24"/>
        </w:rPr>
        <w:t>School of</w:t>
      </w:r>
      <w:r>
        <w:rPr>
          <w:rFonts w:ascii="Times New Roman" w:hAnsi="Times New Roman" w:eastAsia="宋体" w:cs="Times New Roman"/>
          <w:sz w:val="24"/>
          <w:szCs w:val="24"/>
          <w:lang w:eastAsia="zh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Traditional</w:t>
      </w:r>
      <w:r>
        <w:rPr>
          <w:rFonts w:ascii="Times New Roman" w:hAnsi="Times New Roman" w:eastAsia="宋体" w:cs="Times New Roman"/>
          <w:sz w:val="24"/>
          <w:szCs w:val="24"/>
          <w:lang w:eastAsia="zh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Chinese Materia Medica,</w:t>
      </w:r>
      <w:r>
        <w:rPr>
          <w:rFonts w:hint="eastAsia" w:ascii="Times New Roman" w:hAnsi="Times New Roman" w:eastAsia="宋体" w:cs="Times New Roman"/>
          <w:sz w:val="24"/>
          <w:szCs w:val="24"/>
          <w:lang w:eastAsia="zh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Shenyang Pharmaceutical University,</w:t>
      </w:r>
      <w:r>
        <w:rPr>
          <w:rFonts w:hint="eastAsia" w:ascii="Times New Roman" w:hAnsi="Times New Roman" w:eastAsia="宋体" w:cs="Times New Roman"/>
          <w:sz w:val="24"/>
          <w:szCs w:val="24"/>
          <w:lang w:eastAsia="zh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Shenyang</w:t>
      </w:r>
      <w:r>
        <w:rPr>
          <w:rFonts w:hint="eastAsia" w:ascii="Times New Roman" w:hAnsi="Times New Roman" w:eastAsia="宋体" w:cs="Times New Roman"/>
          <w:sz w:val="24"/>
          <w:szCs w:val="24"/>
          <w:lang w:eastAsia="zh"/>
        </w:rPr>
        <w:t>, Liaoning</w:t>
      </w:r>
      <w:r>
        <w:rPr>
          <w:rFonts w:ascii="Times New Roman" w:hAnsi="Times New Roman" w:eastAsia="宋体" w:cs="Times New Roman"/>
          <w:sz w:val="24"/>
          <w:szCs w:val="24"/>
        </w:rPr>
        <w:t xml:space="preserve"> 110016,</w:t>
      </w:r>
      <w:r>
        <w:rPr>
          <w:rFonts w:hint="eastAsia" w:ascii="Times New Roman" w:hAnsi="Times New Roman" w:eastAsia="宋体" w:cs="Times New Roman"/>
          <w:sz w:val="24"/>
          <w:szCs w:val="24"/>
          <w:lang w:eastAsia="zh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China</w:t>
      </w:r>
    </w:p>
    <w:p w14:paraId="5B214769">
      <w:pPr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 w:val="24"/>
          <w:szCs w:val="24"/>
          <w:shd w:val="clear" w:color="auto" w:fill="FFFFFF"/>
        </w:rPr>
      </w:pPr>
    </w:p>
    <w:p w14:paraId="4860588F">
      <w:r>
        <w:rPr>
          <w:rFonts w:hint="eastAsia" w:ascii="Times New Roman" w:hAnsi="Times New Roman" w:eastAsia="宋体" w:cs="Times New Roman"/>
          <w:bCs/>
          <w:sz w:val="24"/>
          <w:szCs w:val="24"/>
          <w:shd w:val="clear" w:color="auto" w:fill="FFFFFF"/>
          <w:vertAlign w:val="superscript"/>
        </w:rPr>
        <w:t>†</w:t>
      </w:r>
      <w:r>
        <w:rPr>
          <w:rFonts w:hint="eastAsia" w:ascii="Times New Roman" w:hAnsi="Times New Roman" w:eastAsia="宋体" w:cs="Times New Roman"/>
          <w:bCs/>
          <w:sz w:val="24"/>
          <w:szCs w:val="24"/>
          <w:shd w:val="clear" w:color="auto" w:fill="FFFFFF"/>
        </w:rPr>
        <w:t>Ling Chen and Hualin Liu contributed equally to this work.</w:t>
      </w:r>
    </w:p>
    <w:p w14:paraId="2D795824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br w:type="page"/>
      </w:r>
    </w:p>
    <w:p w14:paraId="52B697A8">
      <w:pPr>
        <w:rPr>
          <w:rFonts w:ascii="Times New Roman" w:hAnsi="Times New Roman" w:cs="Times New Roman"/>
          <w:b/>
          <w:sz w:val="24"/>
        </w:rPr>
      </w:pPr>
      <w:bookmarkStart w:id="3" w:name="_GoBack"/>
      <w:bookmarkEnd w:id="3"/>
    </w:p>
    <w:p w14:paraId="4130555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Table S1 Contents of Each Fructooligosaccharide Component in the Sample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160"/>
        <w:gridCol w:w="743"/>
        <w:gridCol w:w="950"/>
        <w:gridCol w:w="1257"/>
        <w:gridCol w:w="1322"/>
        <w:gridCol w:w="2329"/>
      </w:tblGrid>
      <w:tr w14:paraId="060FE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1A4106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Peak</w:t>
            </w:r>
          </w:p>
        </w:tc>
        <w:tc>
          <w:tcPr>
            <w:tcW w:w="1160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761C5C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Retention Time</w:t>
            </w:r>
          </w:p>
          <w:p w14:paraId="7912A57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[min]</w:t>
            </w:r>
          </w:p>
        </w:tc>
        <w:tc>
          <w:tcPr>
            <w:tcW w:w="743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9674EE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Type</w:t>
            </w:r>
          </w:p>
        </w:tc>
        <w:tc>
          <w:tcPr>
            <w:tcW w:w="950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D78C476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Peak Width</w:t>
            </w:r>
          </w:p>
          <w:p w14:paraId="0811C17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[min]</w:t>
            </w:r>
          </w:p>
        </w:tc>
        <w:tc>
          <w:tcPr>
            <w:tcW w:w="1257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774A4A0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Peak Area</w:t>
            </w:r>
          </w:p>
          <w:p w14:paraId="6319486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[nRIU*s]</w:t>
            </w:r>
          </w:p>
        </w:tc>
        <w:tc>
          <w:tcPr>
            <w:tcW w:w="1322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5DD31F5"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Peak Area</w:t>
            </w:r>
          </w:p>
          <w:p w14:paraId="31C17B8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%</w:t>
            </w:r>
          </w:p>
        </w:tc>
        <w:tc>
          <w:tcPr>
            <w:tcW w:w="2329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77E087E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Name</w:t>
            </w:r>
          </w:p>
        </w:tc>
      </w:tr>
      <w:tr w14:paraId="3D80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465E783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17FC126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15.581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48A294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BBA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3D6E86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0.6296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192D64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3.05372e6</w:t>
            </w:r>
          </w:p>
        </w:tc>
        <w:tc>
          <w:tcPr>
            <w:tcW w:w="132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C14D03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57.1993</w:t>
            </w:r>
          </w:p>
        </w:tc>
        <w:tc>
          <w:tcPr>
            <w:tcW w:w="232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25DA81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Kestose</w:t>
            </w:r>
          </w:p>
        </w:tc>
      </w:tr>
      <w:tr w14:paraId="7D647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34F4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AC3FB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22.970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2B7C5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BBA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4E1D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0.8641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5F9F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2.10277e6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34A83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39.3870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0ED6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Nystose</w:t>
            </w:r>
          </w:p>
        </w:tc>
      </w:tr>
      <w:tr w14:paraId="5B8E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00D3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6259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33.835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DDDC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BV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A2702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1.1035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80F5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1.82247e5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3E0BF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3.4137</w:t>
            </w:r>
          </w:p>
        </w:tc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1BB4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Fructofuranosylnystose</w:t>
            </w:r>
          </w:p>
        </w:tc>
      </w:tr>
      <w:tr w14:paraId="06D56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376F111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Total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48CDD7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4146EF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3BB25F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0EF58B77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5.33873e6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78ABC67A">
            <w:pPr>
              <w:widowControl/>
              <w:jc w:val="center"/>
              <w:textAlignment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100.0000</w:t>
            </w:r>
          </w:p>
        </w:tc>
        <w:tc>
          <w:tcPr>
            <w:tcW w:w="2329" w:type="dxa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413297C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A2EC2F2">
      <w:pPr>
        <w:rPr>
          <w:rFonts w:ascii="Times New Roman" w:hAnsi="Times New Roman" w:cs="Times New Roman"/>
        </w:rPr>
      </w:pPr>
    </w:p>
    <w:p w14:paraId="68AEB52F">
      <w:pPr>
        <w:spacing w:before="480" w:after="480" w:line="288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Table S</w:t>
      </w:r>
      <w:r>
        <w:rPr>
          <w:rFonts w:hint="eastAsia"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 xml:space="preserve"> Content of Flavonoids and Organic Acids in Fresh Sea Buckthorn Fruits</w:t>
      </w:r>
    </w:p>
    <w:tbl>
      <w:tblPr>
        <w:tblStyle w:val="6"/>
        <w:tblW w:w="8040" w:type="dxa"/>
        <w:jc w:val="center"/>
        <w:tblBorders>
          <w:top w:val="single" w:color="DEE0E3" w:sz="2" w:space="0"/>
          <w:left w:val="single" w:color="DEE0E3" w:sz="2" w:space="0"/>
          <w:bottom w:val="single" w:color="DEE0E3" w:sz="2" w:space="0"/>
          <w:right w:val="single" w:color="DEE0E3" w:sz="2" w:space="0"/>
          <w:insideH w:val="single" w:color="DEE0E3" w:sz="2" w:space="0"/>
          <w:insideV w:val="single" w:color="DEE0E3" w:sz="2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5"/>
        <w:gridCol w:w="2076"/>
        <w:gridCol w:w="2076"/>
        <w:gridCol w:w="1813"/>
      </w:tblGrid>
      <w:tr w14:paraId="30C12465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gridSpan w:val="2"/>
            <w:tcBorders>
              <w:top w:val="single" w:color="auto" w:sz="6" w:space="0"/>
              <w:left w:val="single" w:color="DEE0E3" w:sz="2" w:space="0"/>
              <w:bottom w:val="single" w:color="auto" w:sz="4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093173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等线" w:cs="Times New Roman"/>
                <w:b/>
                <w:bCs/>
                <w:sz w:val="22"/>
              </w:rPr>
              <w:t>Test Item</w:t>
            </w:r>
          </w:p>
        </w:tc>
        <w:tc>
          <w:tcPr>
            <w:tcW w:w="2075" w:type="dxa"/>
            <w:tcBorders>
              <w:top w:val="single" w:color="auto" w:sz="6" w:space="0"/>
              <w:left w:val="single" w:color="DEE0E3" w:sz="2" w:space="0"/>
              <w:bottom w:val="single" w:color="auto" w:sz="4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FBE74A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等线" w:cs="Times New Roman"/>
                <w:b/>
                <w:bCs/>
                <w:sz w:val="22"/>
              </w:rPr>
              <w:t>Test Method</w:t>
            </w:r>
          </w:p>
        </w:tc>
        <w:tc>
          <w:tcPr>
            <w:tcW w:w="1813" w:type="dxa"/>
            <w:tcBorders>
              <w:top w:val="single" w:color="auto" w:sz="6" w:space="0"/>
              <w:left w:val="single" w:color="DEE0E3" w:sz="2" w:space="0"/>
              <w:bottom w:val="single" w:color="auto" w:sz="4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CF0771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等线" w:cs="Times New Roman"/>
                <w:b/>
                <w:bCs/>
                <w:sz w:val="22"/>
              </w:rPr>
              <w:t>Test Results</w:t>
            </w:r>
          </w:p>
        </w:tc>
      </w:tr>
      <w:tr w14:paraId="6BBFF11D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5" w:type="dxa"/>
            <w:vMerge w:val="restart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C0F087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  <w:sz w:val="22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Flavonoid Monomer Content, mg/100g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B28E9C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  <w:sz w:val="22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Rutin</w:t>
            </w:r>
          </w:p>
        </w:tc>
        <w:tc>
          <w:tcPr>
            <w:tcW w:w="2075" w:type="dxa"/>
            <w:vMerge w:val="restart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381CE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HPLC (High Performance Liquid Chromatography)</w:t>
            </w:r>
          </w:p>
        </w:tc>
        <w:tc>
          <w:tcPr>
            <w:tcW w:w="1813" w:type="dxa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24522F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7.372</w:t>
            </w:r>
          </w:p>
        </w:tc>
      </w:tr>
      <w:tr w14:paraId="2B5FC7AC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14ED66E1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20D3A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Isoquercetin</w:t>
            </w: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546B770B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6D1988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1.313</w:t>
            </w:r>
          </w:p>
        </w:tc>
      </w:tr>
      <w:tr w14:paraId="096196B3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4D8B9790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3C767A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Narcissin</w:t>
            </w: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71449C66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1AE7E8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21.481</w:t>
            </w:r>
          </w:p>
        </w:tc>
      </w:tr>
      <w:tr w14:paraId="7100FE64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36F066E7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5A7E7B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Isorhamnetin-3-O-glucoside</w:t>
            </w: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6628EC53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292587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3.117</w:t>
            </w:r>
          </w:p>
        </w:tc>
      </w:tr>
      <w:tr w14:paraId="31F26504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3EC983F9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223BFB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Isorhamnetin-3-O-glucoside-7-O-rhamnoside</w:t>
            </w: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742DFBDB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097614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4.976</w:t>
            </w:r>
          </w:p>
        </w:tc>
      </w:tr>
      <w:tr w14:paraId="6462E746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6AFC7533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2BE7D8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Kaempferol</w:t>
            </w: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4A1FC9B0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C4ABA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0.418</w:t>
            </w:r>
          </w:p>
        </w:tc>
      </w:tr>
      <w:tr w14:paraId="4A28EF75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1FA37FDF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D9CD21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Total Flavonoid Monomers</w:t>
            </w:r>
          </w:p>
        </w:tc>
        <w:tc>
          <w:tcPr>
            <w:tcW w:w="2075" w:type="dxa"/>
            <w:vMerge w:val="continue"/>
            <w:tcBorders>
              <w:top w:val="single" w:color="auto" w:sz="4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vAlign w:val="center"/>
          </w:tcPr>
          <w:p w14:paraId="4E0EA974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C54735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38.680</w:t>
            </w:r>
          </w:p>
        </w:tc>
      </w:tr>
      <w:tr w14:paraId="5B8F32C8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gridSpan w:val="2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11B634D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  <w:sz w:val="22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Total Flavonoids (expressed as rutin equivalent), % (w/w)</w:t>
            </w:r>
          </w:p>
        </w:tc>
        <w:tc>
          <w:tcPr>
            <w:tcW w:w="2075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FF894D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Chinese Pharmacopoeia (2025 Edition), Volume I, Hippophae rhamnoides (UV-Vis Spectrophotometry)</w:t>
            </w:r>
          </w:p>
        </w:tc>
        <w:tc>
          <w:tcPr>
            <w:tcW w:w="1813" w:type="dxa"/>
            <w:tcBorders>
              <w:top w:val="single" w:color="DEE0E3" w:sz="2" w:space="0"/>
              <w:left w:val="single" w:color="DEE0E3" w:sz="2" w:space="0"/>
              <w:bottom w:val="single" w:color="DEE0E3" w:sz="2" w:space="0"/>
              <w:right w:val="single" w:color="DEE0E3" w:sz="2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0A2CC4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0.610</w:t>
            </w:r>
          </w:p>
        </w:tc>
      </w:tr>
      <w:tr w14:paraId="04E74649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2075" w:type="dxa"/>
            <w:vMerge w:val="restart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8EEAC8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  <w:sz w:val="22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Organic Acid Content, % (w/w)</w:t>
            </w:r>
          </w:p>
        </w:tc>
        <w:tc>
          <w:tcPr>
            <w:tcW w:w="2075" w:type="dxa"/>
            <w:tcBorders>
              <w:top w:val="single" w:color="DEE0E3" w:sz="2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D95E71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  <w:sz w:val="22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Tartaric Acid</w:t>
            </w:r>
          </w:p>
        </w:tc>
        <w:tc>
          <w:tcPr>
            <w:tcW w:w="2075" w:type="dxa"/>
            <w:vMerge w:val="restart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D741A1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High Performance Liquid Chromatography</w:t>
            </w:r>
          </w:p>
        </w:tc>
        <w:tc>
          <w:tcPr>
            <w:tcW w:w="1813" w:type="dxa"/>
            <w:tcBorders>
              <w:top w:val="single" w:color="DEE0E3" w:sz="2" w:space="0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9A05AF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0.880</w:t>
            </w:r>
          </w:p>
        </w:tc>
      </w:tr>
      <w:tr w14:paraId="60B2ABF4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5E93FC68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7682AF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Malic Acid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03D3C4C3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2F2C90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4.600</w:t>
            </w:r>
          </w:p>
        </w:tc>
      </w:tr>
      <w:tr w14:paraId="6DE3E114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596BA770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478BA7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Lactic Acid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71BD902B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8DE800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ND (LOD: 0.0250%)</w:t>
            </w:r>
          </w:p>
        </w:tc>
      </w:tr>
      <w:tr w14:paraId="1FECD504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3DDF3CE4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EF50C2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Citric Acid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505C9FC9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88DA2E2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0.200</w:t>
            </w:r>
          </w:p>
        </w:tc>
      </w:tr>
      <w:tr w14:paraId="7EA2B346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0FA43EC5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CADE0A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Succinic Acid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5755F87C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439DC2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2.000</w:t>
            </w:r>
          </w:p>
        </w:tc>
      </w:tr>
      <w:tr w14:paraId="09E8ED69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5E942293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25EF0F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Fumaric Acid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587C454D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762A73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ND (LOD: 0.000125%)</w:t>
            </w:r>
          </w:p>
        </w:tc>
      </w:tr>
      <w:tr w14:paraId="2D3EF7BE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0FAFC7C4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105DC7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Adipic Acid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0C2026F1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6BBB2C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0.700</w:t>
            </w:r>
          </w:p>
        </w:tc>
      </w:tr>
      <w:tr w14:paraId="06CE9168">
        <w:tblPrEx>
          <w:tblBorders>
            <w:top w:val="single" w:color="DEE0E3" w:sz="2" w:space="0"/>
            <w:left w:val="single" w:color="DEE0E3" w:sz="2" w:space="0"/>
            <w:bottom w:val="single" w:color="DEE0E3" w:sz="2" w:space="0"/>
            <w:right w:val="single" w:color="DEE0E3" w:sz="2" w:space="0"/>
            <w:insideH w:val="single" w:color="DEE0E3" w:sz="2" w:space="0"/>
            <w:insideV w:val="single" w:color="DEE0E3" w:sz="2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4150" w:type="dxa"/>
            <w:vMerge w:val="continue"/>
            <w:tcBorders>
              <w:top w:val="single" w:color="DEE0E3" w:sz="2" w:space="0"/>
              <w:left w:val="single" w:color="DEE0E3" w:sz="2" w:space="0"/>
              <w:bottom w:val="single" w:color="000000" w:themeColor="text1" w:sz="6" w:space="0"/>
              <w:right w:val="nil"/>
            </w:tcBorders>
            <w:vAlign w:val="center"/>
          </w:tcPr>
          <w:p w14:paraId="1E61877E">
            <w:pPr>
              <w:widowControl/>
              <w:jc w:val="left"/>
              <w:rPr>
                <w:rFonts w:ascii="Times New Roman" w:hAnsi="Times New Roman" w:eastAsia="等线" w:cs="Times New Roman"/>
                <w:sz w:val="22"/>
                <w:szCs w:val="22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color="000000" w:themeColor="text1" w:sz="6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B1D010">
            <w:pPr>
              <w:spacing w:before="120" w:after="120"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Total Organic Acids (sum of 7 monomers)</w:t>
            </w:r>
          </w:p>
        </w:tc>
        <w:tc>
          <w:tcPr>
            <w:tcW w:w="2075" w:type="dxa"/>
            <w:vMerge w:val="continue"/>
            <w:tcBorders>
              <w:top w:val="single" w:color="DEE0E3" w:sz="2" w:space="0"/>
              <w:left w:val="nil"/>
              <w:bottom w:val="single" w:color="000000" w:themeColor="text1" w:sz="6" w:space="0"/>
              <w:right w:val="nil"/>
            </w:tcBorders>
            <w:vAlign w:val="center"/>
          </w:tcPr>
          <w:p w14:paraId="380321EF">
            <w:pPr>
              <w:widowControl/>
              <w:jc w:val="lef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color="000000" w:themeColor="text1" w:sz="6" w:space="0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3060F5">
            <w:pPr>
              <w:spacing w:before="120" w:after="120" w:line="288" w:lineRule="auto"/>
              <w:jc w:val="center"/>
              <w:rPr>
                <w:rFonts w:ascii="Times New Roman" w:hAnsi="Times New Roman" w:eastAsia="等线" w:cs="Times New Roman"/>
              </w:rPr>
            </w:pPr>
            <w:r>
              <w:rPr>
                <w:rFonts w:ascii="Times New Roman" w:hAnsi="Times New Roman" w:eastAsia="等线" w:cs="Times New Roman"/>
                <w:sz w:val="22"/>
              </w:rPr>
              <w:t>8.380</w:t>
            </w:r>
          </w:p>
        </w:tc>
      </w:tr>
    </w:tbl>
    <w:p w14:paraId="5A0C647E">
      <w:pPr>
        <w:spacing w:before="120" w:after="120" w:line="288" w:lineRule="auto"/>
        <w:jc w:val="left"/>
        <w:rPr>
          <w:rFonts w:hint="eastAsia" w:ascii="Times New Roman" w:hAnsi="Times New Roman" w:cs="Times New Roman"/>
          <w:sz w:val="20"/>
          <w:szCs w:val="22"/>
        </w:rPr>
      </w:pPr>
      <w:r>
        <w:rPr>
          <w:rFonts w:ascii="Times New Roman" w:hAnsi="Times New Roman" w:eastAsia="等线" w:cs="Times New Roman"/>
        </w:rPr>
        <w:t>Note: ND = Not Detected; LOD = Limit of Detection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86E"/>
    <w:rsid w:val="00002DCB"/>
    <w:rsid w:val="00017516"/>
    <w:rsid w:val="00023B74"/>
    <w:rsid w:val="00025FAD"/>
    <w:rsid w:val="00056DDE"/>
    <w:rsid w:val="00057962"/>
    <w:rsid w:val="00061A3B"/>
    <w:rsid w:val="00062462"/>
    <w:rsid w:val="00074067"/>
    <w:rsid w:val="0007565A"/>
    <w:rsid w:val="000A7FCA"/>
    <w:rsid w:val="000D1645"/>
    <w:rsid w:val="000F6217"/>
    <w:rsid w:val="00106C05"/>
    <w:rsid w:val="00127DCE"/>
    <w:rsid w:val="001517FA"/>
    <w:rsid w:val="0018043C"/>
    <w:rsid w:val="001B5BE7"/>
    <w:rsid w:val="001B666E"/>
    <w:rsid w:val="001C04FD"/>
    <w:rsid w:val="001C2289"/>
    <w:rsid w:val="001C5624"/>
    <w:rsid w:val="001E226A"/>
    <w:rsid w:val="001E22BB"/>
    <w:rsid w:val="001F5168"/>
    <w:rsid w:val="001F7C70"/>
    <w:rsid w:val="00206BCD"/>
    <w:rsid w:val="002629C7"/>
    <w:rsid w:val="00266766"/>
    <w:rsid w:val="002723A3"/>
    <w:rsid w:val="00282405"/>
    <w:rsid w:val="00285C28"/>
    <w:rsid w:val="0029599B"/>
    <w:rsid w:val="002B2901"/>
    <w:rsid w:val="002B3BF5"/>
    <w:rsid w:val="002D678E"/>
    <w:rsid w:val="002E5812"/>
    <w:rsid w:val="002E6CC7"/>
    <w:rsid w:val="00304A44"/>
    <w:rsid w:val="0031159E"/>
    <w:rsid w:val="00312C9E"/>
    <w:rsid w:val="00314BAF"/>
    <w:rsid w:val="003246AE"/>
    <w:rsid w:val="00324CE8"/>
    <w:rsid w:val="003347C2"/>
    <w:rsid w:val="00340073"/>
    <w:rsid w:val="00354DA0"/>
    <w:rsid w:val="00356E1D"/>
    <w:rsid w:val="003607DF"/>
    <w:rsid w:val="003734FB"/>
    <w:rsid w:val="00394FF7"/>
    <w:rsid w:val="003A1845"/>
    <w:rsid w:val="003A7709"/>
    <w:rsid w:val="003C16DD"/>
    <w:rsid w:val="003C3DE4"/>
    <w:rsid w:val="003C5A6C"/>
    <w:rsid w:val="003D49F7"/>
    <w:rsid w:val="003F459A"/>
    <w:rsid w:val="00401D85"/>
    <w:rsid w:val="00404798"/>
    <w:rsid w:val="0040586E"/>
    <w:rsid w:val="004101A2"/>
    <w:rsid w:val="00414A8E"/>
    <w:rsid w:val="00417E77"/>
    <w:rsid w:val="00432E1F"/>
    <w:rsid w:val="004407AA"/>
    <w:rsid w:val="00444D64"/>
    <w:rsid w:val="00450F35"/>
    <w:rsid w:val="00463398"/>
    <w:rsid w:val="004704A7"/>
    <w:rsid w:val="00480EA5"/>
    <w:rsid w:val="004815EB"/>
    <w:rsid w:val="00492DD0"/>
    <w:rsid w:val="004941DD"/>
    <w:rsid w:val="004A4EE9"/>
    <w:rsid w:val="004A5F25"/>
    <w:rsid w:val="004B48EA"/>
    <w:rsid w:val="004B5DA4"/>
    <w:rsid w:val="004C7BF5"/>
    <w:rsid w:val="004D4279"/>
    <w:rsid w:val="004F0796"/>
    <w:rsid w:val="004F598B"/>
    <w:rsid w:val="00503E4C"/>
    <w:rsid w:val="005073F4"/>
    <w:rsid w:val="00513BB5"/>
    <w:rsid w:val="0052397C"/>
    <w:rsid w:val="00527E80"/>
    <w:rsid w:val="0054155E"/>
    <w:rsid w:val="00544E1B"/>
    <w:rsid w:val="0055383A"/>
    <w:rsid w:val="00565AC6"/>
    <w:rsid w:val="00570A1A"/>
    <w:rsid w:val="0058372E"/>
    <w:rsid w:val="005936E2"/>
    <w:rsid w:val="0059492A"/>
    <w:rsid w:val="005A3101"/>
    <w:rsid w:val="005A4FC8"/>
    <w:rsid w:val="005D4BE0"/>
    <w:rsid w:val="005D600E"/>
    <w:rsid w:val="005E020A"/>
    <w:rsid w:val="005E4467"/>
    <w:rsid w:val="005E776E"/>
    <w:rsid w:val="006009AB"/>
    <w:rsid w:val="00615252"/>
    <w:rsid w:val="006222C4"/>
    <w:rsid w:val="00624A60"/>
    <w:rsid w:val="006276ED"/>
    <w:rsid w:val="006307DB"/>
    <w:rsid w:val="00636297"/>
    <w:rsid w:val="00650312"/>
    <w:rsid w:val="00653BC9"/>
    <w:rsid w:val="00656CEA"/>
    <w:rsid w:val="0065753F"/>
    <w:rsid w:val="00657B74"/>
    <w:rsid w:val="006724DF"/>
    <w:rsid w:val="006A11C2"/>
    <w:rsid w:val="006D12CA"/>
    <w:rsid w:val="006E455C"/>
    <w:rsid w:val="006F1ECE"/>
    <w:rsid w:val="007065D9"/>
    <w:rsid w:val="00721DAF"/>
    <w:rsid w:val="00724D58"/>
    <w:rsid w:val="007457D9"/>
    <w:rsid w:val="00761B62"/>
    <w:rsid w:val="00766592"/>
    <w:rsid w:val="00772574"/>
    <w:rsid w:val="007A16B5"/>
    <w:rsid w:val="007E0A6C"/>
    <w:rsid w:val="007F2CF6"/>
    <w:rsid w:val="00812819"/>
    <w:rsid w:val="00813FB9"/>
    <w:rsid w:val="00824331"/>
    <w:rsid w:val="008259AA"/>
    <w:rsid w:val="00850C4C"/>
    <w:rsid w:val="00857554"/>
    <w:rsid w:val="00861CF9"/>
    <w:rsid w:val="00865545"/>
    <w:rsid w:val="00872ADE"/>
    <w:rsid w:val="00880576"/>
    <w:rsid w:val="00897401"/>
    <w:rsid w:val="008A3EB2"/>
    <w:rsid w:val="008C0036"/>
    <w:rsid w:val="008C2FC9"/>
    <w:rsid w:val="009106FE"/>
    <w:rsid w:val="00933A96"/>
    <w:rsid w:val="00947F1D"/>
    <w:rsid w:val="00951FE5"/>
    <w:rsid w:val="009623E3"/>
    <w:rsid w:val="00964934"/>
    <w:rsid w:val="00964AC1"/>
    <w:rsid w:val="00966AA1"/>
    <w:rsid w:val="009739ED"/>
    <w:rsid w:val="00977772"/>
    <w:rsid w:val="00983EC5"/>
    <w:rsid w:val="00986A08"/>
    <w:rsid w:val="009A795B"/>
    <w:rsid w:val="009B001B"/>
    <w:rsid w:val="009B0086"/>
    <w:rsid w:val="009D2B93"/>
    <w:rsid w:val="009D2C69"/>
    <w:rsid w:val="009E0468"/>
    <w:rsid w:val="009E393D"/>
    <w:rsid w:val="009E6C02"/>
    <w:rsid w:val="009E7B27"/>
    <w:rsid w:val="009F1870"/>
    <w:rsid w:val="00A043E4"/>
    <w:rsid w:val="00A05B1A"/>
    <w:rsid w:val="00A178DC"/>
    <w:rsid w:val="00A2414B"/>
    <w:rsid w:val="00A31A8C"/>
    <w:rsid w:val="00A36398"/>
    <w:rsid w:val="00A717F4"/>
    <w:rsid w:val="00A74547"/>
    <w:rsid w:val="00A76934"/>
    <w:rsid w:val="00A92FC4"/>
    <w:rsid w:val="00AA44DF"/>
    <w:rsid w:val="00AA7214"/>
    <w:rsid w:val="00AB74CC"/>
    <w:rsid w:val="00AD167B"/>
    <w:rsid w:val="00AF7D7E"/>
    <w:rsid w:val="00B1593F"/>
    <w:rsid w:val="00B2103E"/>
    <w:rsid w:val="00B361C4"/>
    <w:rsid w:val="00B54AF5"/>
    <w:rsid w:val="00B62E84"/>
    <w:rsid w:val="00B7241E"/>
    <w:rsid w:val="00B832FF"/>
    <w:rsid w:val="00B9444E"/>
    <w:rsid w:val="00B96400"/>
    <w:rsid w:val="00B96DCB"/>
    <w:rsid w:val="00BC6F6B"/>
    <w:rsid w:val="00BE5464"/>
    <w:rsid w:val="00BE73E6"/>
    <w:rsid w:val="00C363FD"/>
    <w:rsid w:val="00C41718"/>
    <w:rsid w:val="00C458B3"/>
    <w:rsid w:val="00C50A75"/>
    <w:rsid w:val="00C5245D"/>
    <w:rsid w:val="00C64B42"/>
    <w:rsid w:val="00C70F02"/>
    <w:rsid w:val="00C723AE"/>
    <w:rsid w:val="00C94E74"/>
    <w:rsid w:val="00CA16E3"/>
    <w:rsid w:val="00CA2A7A"/>
    <w:rsid w:val="00CB6A2B"/>
    <w:rsid w:val="00CB7C4F"/>
    <w:rsid w:val="00CC45B4"/>
    <w:rsid w:val="00CF1639"/>
    <w:rsid w:val="00CF307F"/>
    <w:rsid w:val="00CF3306"/>
    <w:rsid w:val="00D17365"/>
    <w:rsid w:val="00D254EE"/>
    <w:rsid w:val="00D262B4"/>
    <w:rsid w:val="00D50613"/>
    <w:rsid w:val="00D50D90"/>
    <w:rsid w:val="00D66B3F"/>
    <w:rsid w:val="00D755BC"/>
    <w:rsid w:val="00D77389"/>
    <w:rsid w:val="00D876C2"/>
    <w:rsid w:val="00D96FBA"/>
    <w:rsid w:val="00DA17C3"/>
    <w:rsid w:val="00DA3FD2"/>
    <w:rsid w:val="00DA7C68"/>
    <w:rsid w:val="00DC1350"/>
    <w:rsid w:val="00DD16D8"/>
    <w:rsid w:val="00DD3D75"/>
    <w:rsid w:val="00DF5585"/>
    <w:rsid w:val="00E02A8D"/>
    <w:rsid w:val="00E12144"/>
    <w:rsid w:val="00E1255F"/>
    <w:rsid w:val="00E25D87"/>
    <w:rsid w:val="00E3101E"/>
    <w:rsid w:val="00E35FA8"/>
    <w:rsid w:val="00E364D2"/>
    <w:rsid w:val="00E45FFF"/>
    <w:rsid w:val="00E57749"/>
    <w:rsid w:val="00E616D4"/>
    <w:rsid w:val="00E650EA"/>
    <w:rsid w:val="00E73FDF"/>
    <w:rsid w:val="00E91683"/>
    <w:rsid w:val="00E91FEE"/>
    <w:rsid w:val="00E96878"/>
    <w:rsid w:val="00EA367B"/>
    <w:rsid w:val="00EA6F77"/>
    <w:rsid w:val="00EB474E"/>
    <w:rsid w:val="00EC4EBF"/>
    <w:rsid w:val="00ED5B4C"/>
    <w:rsid w:val="00ED7245"/>
    <w:rsid w:val="00EE5E13"/>
    <w:rsid w:val="00EF38DC"/>
    <w:rsid w:val="00F11534"/>
    <w:rsid w:val="00F14AAE"/>
    <w:rsid w:val="00F156BB"/>
    <w:rsid w:val="00F25C96"/>
    <w:rsid w:val="00F34F8C"/>
    <w:rsid w:val="00F537EB"/>
    <w:rsid w:val="00F5727A"/>
    <w:rsid w:val="00F87597"/>
    <w:rsid w:val="00F93312"/>
    <w:rsid w:val="00FA7DA8"/>
    <w:rsid w:val="00FB2AC7"/>
    <w:rsid w:val="00FB2DB1"/>
    <w:rsid w:val="00FB7716"/>
    <w:rsid w:val="00FC2381"/>
    <w:rsid w:val="00FD14C6"/>
    <w:rsid w:val="00FD3144"/>
    <w:rsid w:val="00FE2D7A"/>
    <w:rsid w:val="00FE2F0D"/>
    <w:rsid w:val="268841FC"/>
    <w:rsid w:val="4F233D46"/>
    <w:rsid w:val="7AA3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标题 3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paragraph" w:customStyle="1" w:styleId="12">
    <w:name w:val="书目1"/>
    <w:basedOn w:val="1"/>
    <w:next w:val="1"/>
    <w:unhideWhenUsed/>
    <w:qFormat/>
    <w:uiPriority w:val="37"/>
    <w:pPr>
      <w:tabs>
        <w:tab w:val="left" w:pos="144"/>
      </w:tabs>
      <w:ind w:left="144" w:hanging="144"/>
    </w:pPr>
    <w:rPr>
      <w:szCs w:val="22"/>
    </w:rPr>
  </w:style>
  <w:style w:type="character" w:customStyle="1" w:styleId="13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paragraph" w:customStyle="1" w:styleId="14">
    <w:name w:val="Bibliography"/>
    <w:basedOn w:val="1"/>
    <w:next w:val="1"/>
    <w:unhideWhenUsed/>
    <w:uiPriority w:val="37"/>
    <w:rPr>
      <w:szCs w:val="22"/>
    </w:rPr>
  </w:style>
  <w:style w:type="character" w:customStyle="1" w:styleId="15">
    <w:name w:val="页眉 字符"/>
    <w:basedOn w:val="8"/>
    <w:link w:val="5"/>
    <w:uiPriority w:val="99"/>
    <w:rPr>
      <w:kern w:val="2"/>
      <w:sz w:val="18"/>
      <w:szCs w:val="18"/>
    </w:rPr>
  </w:style>
  <w:style w:type="character" w:customStyle="1" w:styleId="16">
    <w:name w:val="页脚 字符"/>
    <w:basedOn w:val="8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</Words>
  <Characters>1022</Characters>
  <Lines>24</Lines>
  <Paragraphs>12</Paragraphs>
  <TotalTime>0</TotalTime>
  <ScaleCrop>false</ScaleCrop>
  <LinksUpToDate>false</LinksUpToDate>
  <CharactersWithSpaces>1108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2026-02-09T10:42:00Z</dcterms:created>
  <dc:creator>陈玲</dc:creator>
  <cp:lastModifiedBy>刘华林</cp:lastModifiedBy>
  <dcterms:modified xsi:type="dcterms:W3CDTF">2026-03-19T01:52:58Z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zotero-version="7.0.32"&gt;&lt;session id="129mFgko"/&gt;&lt;style id="http://www.zotero.org/styles/royal-society-of-chemistry-with-titles" hasBibliography="1" bibliographyStyleHasBeenSet="1"/&gt;&lt;prefs&gt;&lt;pref name="fieldType" value="Field"/&gt;&lt;pref </vt:lpwstr>
  </property>
  <property fmtid="{D5CDD505-2E9C-101B-9397-08002B2CF9AE}" pid="3" name="ZOTERO_PREF_2">
    <vt:lpwstr>name="automaticJournalAbbreviations" value="true"/&gt;&lt;/prefs&gt;&lt;/data&gt;</vt:lpwstr>
  </property>
  <property fmtid="{D5CDD505-2E9C-101B-9397-08002B2CF9AE}" pid="4" name="KSOTemplateDocerSaveRecord">
    <vt:lpwstr>eyJoZGlkIjoiOTViNmYwNWEyNDc5YjRmNTkwODhhYTExMTQ4N2Y2MTAiLCJ1c2VySWQiOiIxNDc0OTE4Nzg1In0=</vt:lpwstr>
  </property>
  <property fmtid="{D5CDD505-2E9C-101B-9397-08002B2CF9AE}" pid="5" name="KSOProductBuildVer">
    <vt:lpwstr>2052-12.1.0.23125</vt:lpwstr>
  </property>
  <property fmtid="{D5CDD505-2E9C-101B-9397-08002B2CF9AE}" pid="6" name="ICV">
    <vt:lpwstr>FC6EC4346F8D49F48EBDEFE1CF111D2E_12</vt:lpwstr>
  </property>
</Properties>
</file>